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F097" w14:textId="77777777" w:rsidR="004A3F5C" w:rsidRPr="00AF61A9" w:rsidRDefault="004A3F5C" w:rsidP="004A3F5C">
      <w:pPr>
        <w:jc w:val="center"/>
        <w:rPr>
          <w:rFonts w:ascii="Arial" w:hAnsi="Arial" w:cs="Arial"/>
          <w:b/>
          <w:bCs/>
        </w:rPr>
      </w:pPr>
    </w:p>
    <w:p w14:paraId="7DA72340" w14:textId="4A9538DB" w:rsidR="004A3F5C" w:rsidRPr="00AF61A9" w:rsidRDefault="004A3F5C" w:rsidP="004A3F5C">
      <w:pPr>
        <w:pStyle w:val="Nagwek1"/>
        <w:rPr>
          <w:rFonts w:ascii="Times New Roman" w:hAnsi="Times New Roman" w:cs="Times New Roman"/>
          <w:b w:val="0"/>
        </w:rPr>
      </w:pPr>
      <w:r w:rsidRPr="008C04AC">
        <w:rPr>
          <w:color w:val="000000" w:themeColor="text1"/>
        </w:rPr>
        <w:t>UCHWAŁA Nr 528/</w:t>
      </w:r>
      <w:r>
        <w:rPr>
          <w:color w:val="000000" w:themeColor="text1"/>
        </w:rPr>
        <w:t>11129</w:t>
      </w:r>
      <w:r w:rsidRPr="008C04AC">
        <w:rPr>
          <w:color w:val="000000" w:themeColor="text1"/>
        </w:rPr>
        <w:t>/23</w:t>
      </w:r>
      <w:r w:rsidRPr="008C04AC">
        <w:rPr>
          <w:color w:val="000000" w:themeColor="text1"/>
        </w:rPr>
        <w:br/>
        <w:t>ZARZĄDU WOJEWÓDZTWA PODKARPACKIEGO</w:t>
      </w:r>
      <w:r w:rsidRPr="008C04AC">
        <w:rPr>
          <w:color w:val="000000" w:themeColor="text1"/>
        </w:rPr>
        <w:br/>
        <w:t>w RZESZOWIE</w:t>
      </w:r>
      <w:r w:rsidRPr="008C04AC">
        <w:rPr>
          <w:color w:val="000000" w:themeColor="text1"/>
        </w:rPr>
        <w:br/>
        <w:t>z dnia 2 października 2023 r.</w:t>
      </w:r>
      <w:r>
        <w:rPr>
          <w:color w:val="000000" w:themeColor="text1"/>
        </w:rPr>
        <w:br/>
      </w:r>
      <w:r w:rsidR="00F743ED">
        <w:rPr>
          <w:color w:val="000000" w:themeColor="text1"/>
        </w:rPr>
        <w:br/>
      </w:r>
      <w:r w:rsidRPr="008C04AC">
        <w:rPr>
          <w:color w:val="000000" w:themeColor="text1"/>
        </w:rPr>
        <w:t xml:space="preserve">w sprawie wniesienia pod obrady Sejmiku Województwa Podkarpackiego </w:t>
      </w:r>
      <w:r>
        <w:rPr>
          <w:color w:val="000000" w:themeColor="text1"/>
        </w:rPr>
        <w:br/>
        <w:t>p</w:t>
      </w:r>
      <w:r w:rsidRPr="008C04AC">
        <w:rPr>
          <w:color w:val="000000" w:themeColor="text1"/>
        </w:rPr>
        <w:t xml:space="preserve">rojektu uchwały Sejmiku </w:t>
      </w:r>
      <w:r w:rsidRPr="008C04AC">
        <w:rPr>
          <w:iCs/>
          <w:color w:val="000000" w:themeColor="text1"/>
        </w:rPr>
        <w:t xml:space="preserve">w sprawie ustalenia maksymalnej wysokości </w:t>
      </w:r>
      <w:r>
        <w:rPr>
          <w:iCs/>
          <w:color w:val="000000" w:themeColor="text1"/>
        </w:rPr>
        <w:br/>
        <w:t>p</w:t>
      </w:r>
      <w:r w:rsidRPr="008C04AC">
        <w:rPr>
          <w:iCs/>
          <w:color w:val="000000" w:themeColor="text1"/>
        </w:rPr>
        <w:t xml:space="preserve">ożyczki udzielanej w roku budżetowym 2023 </w:t>
      </w:r>
      <w:r>
        <w:rPr>
          <w:iCs/>
          <w:color w:val="000000" w:themeColor="text1"/>
        </w:rPr>
        <w:br/>
      </w:r>
    </w:p>
    <w:p w14:paraId="10004E28" w14:textId="77777777" w:rsidR="004A3F5C" w:rsidRPr="00AF61A9" w:rsidRDefault="004A3F5C" w:rsidP="004A3F5C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76C30A67" w14:textId="77777777" w:rsidR="004A3F5C" w:rsidRPr="00AF61A9" w:rsidRDefault="004A3F5C" w:rsidP="004A3F5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3730243" w14:textId="77777777" w:rsidR="004A3F5C" w:rsidRPr="00AF61A9" w:rsidRDefault="004A3F5C" w:rsidP="004A3F5C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5E2A8D18" w14:textId="77777777" w:rsidR="004A3F5C" w:rsidRPr="00AF61A9" w:rsidRDefault="004A3F5C" w:rsidP="004A3F5C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2173B9DF" w14:textId="77777777" w:rsidR="004A3F5C" w:rsidRPr="00AF61A9" w:rsidRDefault="004A3F5C" w:rsidP="004A3F5C">
      <w:pPr>
        <w:spacing w:line="276" w:lineRule="auto"/>
      </w:pPr>
    </w:p>
    <w:p w14:paraId="6FAE65EB" w14:textId="77777777" w:rsidR="004A3F5C" w:rsidRPr="008C04AC" w:rsidRDefault="004A3F5C" w:rsidP="004A3F5C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C04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1088D445" w14:textId="77777777" w:rsidR="004A3F5C" w:rsidRPr="00AF61A9" w:rsidRDefault="004A3F5C" w:rsidP="004A3F5C">
      <w:pPr>
        <w:spacing w:line="276" w:lineRule="auto"/>
      </w:pPr>
    </w:p>
    <w:p w14:paraId="6C44241E" w14:textId="77777777" w:rsidR="004A3F5C" w:rsidRPr="00AF61A9" w:rsidRDefault="004A3F5C" w:rsidP="004A3F5C">
      <w:pPr>
        <w:spacing w:line="276" w:lineRule="auto"/>
        <w:jc w:val="both"/>
        <w:rPr>
          <w:rFonts w:ascii="Arial" w:hAnsi="Arial" w:cs="Arial"/>
          <w:b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 w:rsidRPr="006B6ABE">
        <w:rPr>
          <w:rFonts w:ascii="Calibri" w:hAnsi="Calibri" w:cs="Calibri"/>
        </w:rPr>
        <w:t xml:space="preserve"> </w:t>
      </w:r>
      <w:r w:rsidRPr="006B6ABE">
        <w:rPr>
          <w:rFonts w:ascii="Arial" w:hAnsi="Arial" w:cs="Arial"/>
          <w:b/>
          <w:iCs/>
        </w:rPr>
        <w:t>ustalenia maksymalnej wysokości pożyczki udzielanej w roku budżetowym 2023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0D2A96ED" w14:textId="77777777" w:rsidR="004A3F5C" w:rsidRPr="00AF61A9" w:rsidRDefault="004A3F5C" w:rsidP="004A3F5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ECB7AC" w14:textId="77777777" w:rsidR="004A3F5C" w:rsidRPr="008C04AC" w:rsidRDefault="004A3F5C" w:rsidP="004A3F5C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8C04AC">
        <w:rPr>
          <w:rFonts w:ascii="Arial" w:hAnsi="Arial" w:cs="Arial"/>
          <w:b/>
          <w:color w:val="000000" w:themeColor="text1"/>
        </w:rPr>
        <w:t>§ 2</w:t>
      </w:r>
    </w:p>
    <w:p w14:paraId="554F1674" w14:textId="77777777" w:rsidR="004A3F5C" w:rsidRPr="00AF61A9" w:rsidRDefault="004A3F5C" w:rsidP="004A3F5C">
      <w:pPr>
        <w:spacing w:line="276" w:lineRule="auto"/>
        <w:jc w:val="both"/>
        <w:rPr>
          <w:rFonts w:ascii="Arial" w:hAnsi="Arial" w:cs="Arial"/>
        </w:rPr>
      </w:pPr>
    </w:p>
    <w:p w14:paraId="561D393B" w14:textId="77777777" w:rsidR="004A3F5C" w:rsidRPr="00AF61A9" w:rsidRDefault="004A3F5C" w:rsidP="004A3F5C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3A296526" w14:textId="77777777" w:rsidR="004A3F5C" w:rsidRPr="00AF61A9" w:rsidRDefault="004A3F5C" w:rsidP="004A3F5C">
      <w:pPr>
        <w:spacing w:line="276" w:lineRule="auto"/>
        <w:jc w:val="both"/>
        <w:rPr>
          <w:rFonts w:ascii="Arial" w:hAnsi="Arial" w:cs="Arial"/>
        </w:rPr>
      </w:pPr>
    </w:p>
    <w:p w14:paraId="611A3F0A" w14:textId="77777777" w:rsidR="004A3F5C" w:rsidRPr="008C04AC" w:rsidRDefault="004A3F5C" w:rsidP="004A3F5C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8C04AC">
        <w:rPr>
          <w:rFonts w:ascii="Arial" w:hAnsi="Arial" w:cs="Arial"/>
          <w:b/>
          <w:color w:val="000000" w:themeColor="text1"/>
        </w:rPr>
        <w:t>§ 3</w:t>
      </w:r>
    </w:p>
    <w:p w14:paraId="46F1537A" w14:textId="77777777" w:rsidR="004A3F5C" w:rsidRPr="00AF61A9" w:rsidRDefault="004A3F5C" w:rsidP="004A3F5C">
      <w:pPr>
        <w:spacing w:line="276" w:lineRule="auto"/>
        <w:jc w:val="both"/>
        <w:rPr>
          <w:rFonts w:ascii="Arial" w:hAnsi="Arial" w:cs="Arial"/>
          <w:bCs/>
        </w:rPr>
      </w:pPr>
    </w:p>
    <w:p w14:paraId="331C37ED" w14:textId="77777777" w:rsidR="004A3F5C" w:rsidRPr="00AF61A9" w:rsidRDefault="004A3F5C" w:rsidP="004A3F5C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5C9A594F" w14:textId="77777777" w:rsidR="004A3F5C" w:rsidRDefault="004A3F5C" w:rsidP="004A3F5C"/>
    <w:p w14:paraId="28612037" w14:textId="77777777" w:rsidR="004A3F5C" w:rsidRDefault="004A3F5C" w:rsidP="004A3F5C"/>
    <w:p w14:paraId="0172519B" w14:textId="77777777" w:rsidR="004A3F5C" w:rsidRPr="008A22AB" w:rsidRDefault="004A3F5C" w:rsidP="004A3F5C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8A22A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B14A14" w14:textId="77777777" w:rsidR="004A3F5C" w:rsidRPr="008A22AB" w:rsidRDefault="004A3F5C" w:rsidP="004A3F5C">
      <w:pPr>
        <w:rPr>
          <w:rFonts w:ascii="Arial" w:eastAsiaTheme="minorEastAsia" w:hAnsi="Arial" w:cs="Arial"/>
          <w:sz w:val="22"/>
        </w:rPr>
      </w:pPr>
      <w:r w:rsidRPr="008A22A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41739F88" w14:textId="77777777" w:rsidR="004A3F5C" w:rsidRPr="008A22AB" w:rsidRDefault="004A3F5C" w:rsidP="004A3F5C">
      <w:pPr>
        <w:rPr>
          <w:rFonts w:ascii="Arial" w:hAnsi="Arial" w:cs="Arial"/>
        </w:rPr>
      </w:pPr>
    </w:p>
    <w:p w14:paraId="311DA2C4" w14:textId="77777777" w:rsidR="004A3F5C" w:rsidRDefault="004A3F5C" w:rsidP="004A3F5C"/>
    <w:p w14:paraId="17C5C1F2" w14:textId="77777777" w:rsidR="00F743ED" w:rsidRDefault="00F743ED" w:rsidP="004A3F5C"/>
    <w:p w14:paraId="6B8A3864" w14:textId="77777777" w:rsidR="00F743ED" w:rsidRDefault="00F743ED" w:rsidP="004A3F5C"/>
    <w:p w14:paraId="5CF3C9C6" w14:textId="77777777" w:rsidR="00F743ED" w:rsidRDefault="00F743ED" w:rsidP="004A3F5C"/>
    <w:p w14:paraId="3AD46EF3" w14:textId="77777777" w:rsidR="00F743ED" w:rsidRDefault="00F743ED" w:rsidP="004A3F5C"/>
    <w:p w14:paraId="63434BC0" w14:textId="77777777" w:rsidR="00F743ED" w:rsidRDefault="00F743ED" w:rsidP="004A3F5C"/>
    <w:p w14:paraId="3D9AA6CB" w14:textId="77777777" w:rsidR="00F743ED" w:rsidRDefault="00F743ED" w:rsidP="004A3F5C"/>
    <w:p w14:paraId="58FA094D" w14:textId="77777777" w:rsidR="004A3F5C" w:rsidRDefault="004A3F5C" w:rsidP="004A3F5C"/>
    <w:p w14:paraId="3D4ABBC4" w14:textId="1D7466D5" w:rsidR="00BE12A7" w:rsidRPr="004471BE" w:rsidRDefault="00742830" w:rsidP="004719DD">
      <w:pPr>
        <w:pStyle w:val="Tytu"/>
        <w:spacing w:line="276" w:lineRule="auto"/>
      </w:pPr>
      <w:r>
        <w:lastRenderedPageBreak/>
        <w:t>UCHWAŁA NR</w:t>
      </w:r>
      <w:r w:rsidR="00847FCF">
        <w:t xml:space="preserve">        /         /23</w:t>
      </w:r>
    </w:p>
    <w:p w14:paraId="77121AC7" w14:textId="77777777" w:rsidR="00BE12A7" w:rsidRPr="004471BE" w:rsidRDefault="00742830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BE12A7" w:rsidRPr="004471BE">
        <w:rPr>
          <w:rFonts w:ascii="Arial" w:hAnsi="Arial" w:cs="Arial"/>
          <w:b/>
          <w:bCs/>
        </w:rPr>
        <w:t xml:space="preserve"> WOJEWÓDZTWA PODKARPACKIEGO</w:t>
      </w:r>
    </w:p>
    <w:p w14:paraId="0C9A3690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>w RZESZOWIE</w:t>
      </w:r>
    </w:p>
    <w:p w14:paraId="132BE5F1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</w:rPr>
      </w:pPr>
      <w:r w:rsidRPr="004471BE">
        <w:rPr>
          <w:rFonts w:ascii="Arial" w:hAnsi="Arial" w:cs="Arial"/>
        </w:rPr>
        <w:t xml:space="preserve">z dnia </w:t>
      </w:r>
    </w:p>
    <w:p w14:paraId="162107CD" w14:textId="77777777" w:rsidR="00BE12A7" w:rsidRPr="004471BE" w:rsidRDefault="00BE12A7" w:rsidP="004719DD">
      <w:pPr>
        <w:spacing w:line="276" w:lineRule="auto"/>
        <w:rPr>
          <w:rFonts w:ascii="Arial" w:hAnsi="Arial" w:cs="Arial"/>
        </w:rPr>
      </w:pPr>
    </w:p>
    <w:p w14:paraId="0C34EE43" w14:textId="2D43051F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 xml:space="preserve">w sprawie </w:t>
      </w:r>
      <w:r w:rsidR="00742830">
        <w:rPr>
          <w:rFonts w:ascii="Arial" w:hAnsi="Arial" w:cs="Arial"/>
          <w:b/>
          <w:bCs/>
        </w:rPr>
        <w:t>ustaleni</w:t>
      </w:r>
      <w:r w:rsidR="004F063C">
        <w:rPr>
          <w:rFonts w:ascii="Arial" w:hAnsi="Arial" w:cs="Arial"/>
          <w:b/>
          <w:bCs/>
        </w:rPr>
        <w:t>a maksymalnej wysokości pożyczki</w:t>
      </w:r>
      <w:r w:rsidR="00742830">
        <w:rPr>
          <w:rFonts w:ascii="Arial" w:hAnsi="Arial" w:cs="Arial"/>
          <w:b/>
          <w:bCs/>
        </w:rPr>
        <w:t xml:space="preserve"> </w:t>
      </w:r>
      <w:r w:rsidR="004F063C">
        <w:rPr>
          <w:rFonts w:ascii="Arial" w:hAnsi="Arial" w:cs="Arial"/>
          <w:b/>
          <w:bCs/>
        </w:rPr>
        <w:t>udzielanej</w:t>
      </w:r>
      <w:r w:rsidR="00B75C98">
        <w:rPr>
          <w:rFonts w:ascii="Arial" w:hAnsi="Arial" w:cs="Arial"/>
          <w:b/>
          <w:bCs/>
        </w:rPr>
        <w:t xml:space="preserve"> </w:t>
      </w:r>
      <w:r w:rsidR="00034DB3">
        <w:rPr>
          <w:rFonts w:ascii="Arial" w:hAnsi="Arial" w:cs="Arial"/>
          <w:b/>
          <w:bCs/>
        </w:rPr>
        <w:t>w roku budżetowym 2023</w:t>
      </w:r>
    </w:p>
    <w:p w14:paraId="65A528F3" w14:textId="77777777" w:rsidR="00BE12A7" w:rsidRPr="004471BE" w:rsidRDefault="00BE12A7" w:rsidP="004719DD">
      <w:pPr>
        <w:spacing w:line="276" w:lineRule="auto"/>
        <w:rPr>
          <w:rFonts w:ascii="Arial" w:hAnsi="Arial" w:cs="Arial"/>
          <w:b/>
          <w:bCs/>
        </w:rPr>
      </w:pPr>
    </w:p>
    <w:p w14:paraId="0C20DD5A" w14:textId="49175787" w:rsidR="004719DD" w:rsidRPr="004471BE" w:rsidRDefault="00742830" w:rsidP="004719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pkt. 19 lit. d </w:t>
      </w:r>
      <w:r w:rsidR="0026273A">
        <w:rPr>
          <w:rFonts w:ascii="Arial" w:hAnsi="Arial" w:cs="Arial"/>
        </w:rPr>
        <w:t xml:space="preserve">ustawy z dnia 5 czerwca </w:t>
      </w:r>
      <w:r w:rsidR="000A7F99" w:rsidRPr="004471BE">
        <w:rPr>
          <w:rFonts w:ascii="Arial" w:hAnsi="Arial" w:cs="Arial"/>
        </w:rPr>
        <w:t xml:space="preserve">1998 r. </w:t>
      </w:r>
      <w:r w:rsidR="000A7F99" w:rsidRPr="00623162">
        <w:rPr>
          <w:rFonts w:ascii="Arial" w:hAnsi="Arial" w:cs="Arial"/>
        </w:rPr>
        <w:t>o</w:t>
      </w:r>
      <w:r w:rsidR="000A7F99" w:rsidRPr="004471BE">
        <w:rPr>
          <w:rFonts w:ascii="Arial" w:hAnsi="Arial" w:cs="Arial"/>
        </w:rPr>
        <w:t xml:space="preserve"> </w:t>
      </w:r>
      <w:r w:rsidR="000D6C52">
        <w:rPr>
          <w:rFonts w:ascii="Arial" w:hAnsi="Arial" w:cs="Arial"/>
        </w:rPr>
        <w:t>samorządzie województwa (</w:t>
      </w:r>
      <w:r w:rsidR="00847FCF">
        <w:rPr>
          <w:rFonts w:ascii="Arial" w:hAnsi="Arial" w:cs="Arial"/>
        </w:rPr>
        <w:t>Dz. U. z 2022</w:t>
      </w:r>
      <w:r w:rsidR="00CF1DC4" w:rsidRPr="00CF1DC4">
        <w:rPr>
          <w:rFonts w:ascii="Arial" w:hAnsi="Arial" w:cs="Arial"/>
        </w:rPr>
        <w:t xml:space="preserve"> r. poz. </w:t>
      </w:r>
      <w:r w:rsidR="00847FCF">
        <w:rPr>
          <w:rFonts w:ascii="Arial" w:hAnsi="Arial" w:cs="Arial"/>
        </w:rPr>
        <w:t>2094</w:t>
      </w:r>
      <w:r w:rsidR="00CB49F0">
        <w:rPr>
          <w:rFonts w:ascii="Arial" w:hAnsi="Arial" w:cs="Arial"/>
        </w:rPr>
        <w:t xml:space="preserve"> </w:t>
      </w:r>
      <w:r w:rsidR="005F21C8">
        <w:rPr>
          <w:rFonts w:ascii="Arial" w:hAnsi="Arial" w:cs="Arial"/>
        </w:rPr>
        <w:t>z późn. zm.</w:t>
      </w:r>
      <w:r w:rsidR="00CF1DC4">
        <w:rPr>
          <w:rFonts w:ascii="Arial" w:hAnsi="Arial" w:cs="Arial"/>
        </w:rPr>
        <w:t>)</w:t>
      </w:r>
    </w:p>
    <w:p w14:paraId="63D88ED3" w14:textId="77777777" w:rsidR="004719DD" w:rsidRDefault="004719DD" w:rsidP="004719DD">
      <w:pPr>
        <w:spacing w:line="276" w:lineRule="auto"/>
        <w:jc w:val="both"/>
        <w:rPr>
          <w:rFonts w:ascii="Arial" w:hAnsi="Arial" w:cs="Arial"/>
        </w:rPr>
      </w:pPr>
    </w:p>
    <w:p w14:paraId="05EC1949" w14:textId="77777777" w:rsidR="00B30B2E" w:rsidRPr="004471BE" w:rsidRDefault="00B30B2E" w:rsidP="004719DD">
      <w:pPr>
        <w:spacing w:line="276" w:lineRule="auto"/>
        <w:jc w:val="both"/>
        <w:rPr>
          <w:rFonts w:ascii="Arial" w:hAnsi="Arial" w:cs="Arial"/>
        </w:rPr>
      </w:pPr>
    </w:p>
    <w:p w14:paraId="4D92B6D2" w14:textId="77777777" w:rsidR="004719DD" w:rsidRPr="004471BE" w:rsidRDefault="00B30B2E" w:rsidP="004719D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DE188E" w:rsidRPr="004471BE">
        <w:rPr>
          <w:rFonts w:ascii="Arial" w:hAnsi="Arial" w:cs="Arial"/>
          <w:b/>
        </w:rPr>
        <w:t xml:space="preserve"> </w:t>
      </w:r>
      <w:r w:rsidR="004719DD" w:rsidRPr="004471BE">
        <w:rPr>
          <w:rFonts w:ascii="Arial" w:hAnsi="Arial" w:cs="Arial"/>
          <w:b/>
        </w:rPr>
        <w:t>Województwa Podkarpackiego w Rzeszowie</w:t>
      </w:r>
    </w:p>
    <w:p w14:paraId="107C8410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>uchwala, co następuje:</w:t>
      </w:r>
    </w:p>
    <w:p w14:paraId="13E31143" w14:textId="77777777" w:rsidR="00BE12A7" w:rsidRPr="004471BE" w:rsidRDefault="00BE12A7" w:rsidP="004719DD">
      <w:pPr>
        <w:spacing w:line="276" w:lineRule="auto"/>
        <w:rPr>
          <w:rFonts w:ascii="Arial" w:hAnsi="Arial" w:cs="Arial"/>
          <w:b/>
          <w:bCs/>
        </w:rPr>
      </w:pPr>
    </w:p>
    <w:p w14:paraId="0919FAB4" w14:textId="77777777" w:rsidR="00027CCA" w:rsidRDefault="00BE12A7" w:rsidP="004719DD">
      <w:pPr>
        <w:pStyle w:val="Tekstpodstawowy"/>
        <w:spacing w:line="276" w:lineRule="auto"/>
        <w:jc w:val="center"/>
      </w:pPr>
      <w:r w:rsidRPr="004471BE">
        <w:t>§ 1</w:t>
      </w:r>
    </w:p>
    <w:p w14:paraId="44B38A2E" w14:textId="77777777" w:rsidR="00DC39AF" w:rsidRPr="004471BE" w:rsidRDefault="00DC39AF" w:rsidP="00DC39AF">
      <w:pPr>
        <w:pStyle w:val="Tekstpodstawowy"/>
        <w:spacing w:line="276" w:lineRule="auto"/>
        <w:jc w:val="left"/>
      </w:pPr>
    </w:p>
    <w:p w14:paraId="36C8E8CB" w14:textId="237FA210" w:rsidR="00FE0E05" w:rsidRPr="006D4687" w:rsidRDefault="00B30B2E" w:rsidP="006D4687">
      <w:pPr>
        <w:pStyle w:val="Tekstpodstawowy"/>
        <w:numPr>
          <w:ilvl w:val="0"/>
          <w:numId w:val="11"/>
        </w:numPr>
        <w:spacing w:line="276" w:lineRule="auto"/>
        <w:rPr>
          <w:i/>
        </w:rPr>
      </w:pPr>
      <w:r>
        <w:t>Ustala się maksymalną wysokość</w:t>
      </w:r>
      <w:r w:rsidR="004F063C">
        <w:t xml:space="preserve"> nieoprocentowanej pożyczki, którą</w:t>
      </w:r>
      <w:r>
        <w:t xml:space="preserve"> może udzielić Zarząd Województwa Podkarpackiego w r</w:t>
      </w:r>
      <w:r w:rsidR="00847FCF">
        <w:t>oku 2023</w:t>
      </w:r>
      <w:r w:rsidR="00CF1DC4">
        <w:t xml:space="preserve"> na </w:t>
      </w:r>
      <w:r w:rsidR="005F21C8">
        <w:t xml:space="preserve">kwotę: </w:t>
      </w:r>
      <w:r w:rsidR="006D4687">
        <w:t>2.500.000</w:t>
      </w:r>
      <w:r w:rsidR="00FE0E05">
        <w:t xml:space="preserve"> zł</w:t>
      </w:r>
      <w:r w:rsidR="00CF1DC4">
        <w:t xml:space="preserve"> (słow</w:t>
      </w:r>
      <w:r w:rsidR="005F21C8">
        <w:t xml:space="preserve">nie: </w:t>
      </w:r>
      <w:r w:rsidR="006D4687">
        <w:t xml:space="preserve">dwa miliony pięćset tysięcy </w:t>
      </w:r>
      <w:r w:rsidR="00CF1DC4">
        <w:t>zł)</w:t>
      </w:r>
      <w:r w:rsidR="00FE0E05">
        <w:t xml:space="preserve">, </w:t>
      </w:r>
      <w:r w:rsidR="00BF2D3D">
        <w:t xml:space="preserve">z </w:t>
      </w:r>
      <w:r>
        <w:t>przeznaczeniem</w:t>
      </w:r>
      <w:r w:rsidR="00FE0E05">
        <w:t xml:space="preserve"> dla </w:t>
      </w:r>
      <w:r w:rsidR="006D4687">
        <w:t xml:space="preserve">Wojewódzkiego Domu Kultury w Rzeszowie </w:t>
      </w:r>
      <w:r>
        <w:t xml:space="preserve">na </w:t>
      </w:r>
      <w:r w:rsidR="000D6C52">
        <w:t>realizację projektu</w:t>
      </w:r>
      <w:r w:rsidR="00847FCF">
        <w:t xml:space="preserve"> </w:t>
      </w:r>
      <w:r w:rsidR="000D6C52">
        <w:t>pn</w:t>
      </w:r>
      <w:r w:rsidR="000D6C52" w:rsidRPr="006D4687">
        <w:rPr>
          <w:i/>
        </w:rPr>
        <w:t>.</w:t>
      </w:r>
      <w:r w:rsidR="006D4687" w:rsidRPr="006D4687">
        <w:rPr>
          <w:i/>
        </w:rPr>
        <w:t xml:space="preserve"> Utworzenie podkarpackiego centrum</w:t>
      </w:r>
      <w:r w:rsidR="006D4687">
        <w:rPr>
          <w:i/>
        </w:rPr>
        <w:t xml:space="preserve"> nauki.</w:t>
      </w:r>
    </w:p>
    <w:p w14:paraId="549784AB" w14:textId="1235A293" w:rsidR="00B30B2E" w:rsidRDefault="00FE0E05" w:rsidP="00FE0E05">
      <w:pPr>
        <w:pStyle w:val="Tekstpodstawowy"/>
        <w:numPr>
          <w:ilvl w:val="0"/>
          <w:numId w:val="11"/>
        </w:numPr>
        <w:spacing w:line="276" w:lineRule="auto"/>
      </w:pPr>
      <w:r>
        <w:t xml:space="preserve">Spłata </w:t>
      </w:r>
      <w:r w:rsidR="004F063C">
        <w:t xml:space="preserve">nieoprocentowanej </w:t>
      </w:r>
      <w:r>
        <w:t xml:space="preserve">pożyczki, </w:t>
      </w:r>
      <w:r w:rsidR="00D12FA4">
        <w:t>o której mow</w:t>
      </w:r>
      <w:r w:rsidR="009A588F">
        <w:t>a</w:t>
      </w:r>
      <w:r w:rsidR="006D4687">
        <w:t xml:space="preserve"> w ust. 1 nastąpi do 31 lipca</w:t>
      </w:r>
      <w:r>
        <w:t xml:space="preserve"> </w:t>
      </w:r>
      <w:r w:rsidR="00847FCF">
        <w:t>2024</w:t>
      </w:r>
      <w:r w:rsidR="000F6CE3">
        <w:t xml:space="preserve"> roku.</w:t>
      </w:r>
    </w:p>
    <w:p w14:paraId="53C9748E" w14:textId="77777777" w:rsidR="00D12FA4" w:rsidRDefault="00D12FA4" w:rsidP="00FE0E05">
      <w:pPr>
        <w:pStyle w:val="Tekstpodstawowy"/>
        <w:numPr>
          <w:ilvl w:val="0"/>
          <w:numId w:val="11"/>
        </w:numPr>
        <w:spacing w:line="276" w:lineRule="auto"/>
      </w:pPr>
      <w:r>
        <w:t>Warunki na jakich zostanie udzielona pożyczka, o której mowa w ust. 1 zostaną określone w odrębnej umowie.</w:t>
      </w:r>
    </w:p>
    <w:p w14:paraId="72893CA8" w14:textId="77777777" w:rsidR="00DC39AF" w:rsidRDefault="00DC39AF" w:rsidP="00DC39AF">
      <w:pPr>
        <w:pStyle w:val="Tekstpodstawowy"/>
        <w:spacing w:line="276" w:lineRule="auto"/>
      </w:pPr>
    </w:p>
    <w:p w14:paraId="15E8E767" w14:textId="77777777" w:rsidR="00DC39AF" w:rsidRDefault="00FE0E05" w:rsidP="00DC39AF">
      <w:pPr>
        <w:pStyle w:val="Tekstpodstawowy"/>
        <w:spacing w:line="276" w:lineRule="auto"/>
        <w:jc w:val="center"/>
      </w:pPr>
      <w:r>
        <w:t>§ 2</w:t>
      </w:r>
    </w:p>
    <w:p w14:paraId="23022353" w14:textId="77777777" w:rsidR="00DC39AF" w:rsidRDefault="00DC39AF" w:rsidP="00DC39AF">
      <w:pPr>
        <w:pStyle w:val="Tekstpodstawowy"/>
        <w:spacing w:line="276" w:lineRule="auto"/>
      </w:pPr>
    </w:p>
    <w:p w14:paraId="2411F6E1" w14:textId="77777777" w:rsidR="00DC39AF" w:rsidRDefault="00DC39AF" w:rsidP="00DC39AF">
      <w:pPr>
        <w:pStyle w:val="Tekstpodstawowy"/>
        <w:spacing w:line="276" w:lineRule="auto"/>
      </w:pPr>
      <w:r>
        <w:t xml:space="preserve">Wykonanie uchwały powierza się </w:t>
      </w:r>
      <w:r w:rsidR="00B30B2E">
        <w:t>Zarządowi Województwa Podkarpackiego</w:t>
      </w:r>
      <w:r>
        <w:t>.</w:t>
      </w:r>
    </w:p>
    <w:p w14:paraId="6038D367" w14:textId="77777777" w:rsidR="00DC39AF" w:rsidRDefault="00DC39AF" w:rsidP="00DC39AF">
      <w:pPr>
        <w:pStyle w:val="Tekstpodstawowy"/>
        <w:spacing w:line="276" w:lineRule="auto"/>
      </w:pPr>
    </w:p>
    <w:p w14:paraId="7F13030F" w14:textId="77777777" w:rsidR="00DC39AF" w:rsidRDefault="00FE0E05" w:rsidP="00DC39AF">
      <w:pPr>
        <w:pStyle w:val="Tekstpodstawowy"/>
        <w:spacing w:line="276" w:lineRule="auto"/>
        <w:jc w:val="center"/>
      </w:pPr>
      <w:r>
        <w:t>§ 3</w:t>
      </w:r>
    </w:p>
    <w:p w14:paraId="17696531" w14:textId="77777777" w:rsidR="00DC39AF" w:rsidRDefault="00DC39AF" w:rsidP="00DC39AF">
      <w:pPr>
        <w:pStyle w:val="Tekstpodstawowy"/>
        <w:spacing w:line="276" w:lineRule="auto"/>
      </w:pPr>
    </w:p>
    <w:p w14:paraId="415BBD53" w14:textId="77777777" w:rsidR="00DC39AF" w:rsidRDefault="00DC39AF" w:rsidP="00DC39AF">
      <w:pPr>
        <w:pStyle w:val="Tekstpodstawowy"/>
        <w:spacing w:line="276" w:lineRule="auto"/>
      </w:pPr>
      <w:r>
        <w:t>Uchwała wchodzi w życie z dniem podjęcia.</w:t>
      </w:r>
    </w:p>
    <w:p w14:paraId="215A898F" w14:textId="7F4DC633" w:rsidR="00BF2A55" w:rsidRDefault="00BF2A55">
      <w:pPr>
        <w:rPr>
          <w:rFonts w:ascii="Arial" w:hAnsi="Arial" w:cs="Arial"/>
        </w:rPr>
      </w:pPr>
      <w:r>
        <w:br w:type="page"/>
      </w:r>
    </w:p>
    <w:p w14:paraId="295C08E5" w14:textId="5763D992" w:rsidR="00DC39AF" w:rsidRDefault="00B75C98" w:rsidP="00BF2A55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Uzasadnienie do projektu Uchwały Sejmiku Województwa Podkarpackiego w sprawie ustaleni</w:t>
      </w:r>
      <w:r w:rsidR="004F063C">
        <w:rPr>
          <w:rFonts w:ascii="Arial" w:hAnsi="Arial"/>
          <w:b/>
          <w:bCs/>
        </w:rPr>
        <w:t>a maksymalnej wysokości pożyczki</w:t>
      </w:r>
      <w:r>
        <w:rPr>
          <w:rFonts w:ascii="Arial" w:hAnsi="Arial"/>
          <w:b/>
          <w:bCs/>
        </w:rPr>
        <w:t xml:space="preserve"> ud</w:t>
      </w:r>
      <w:r w:rsidR="004F063C">
        <w:rPr>
          <w:rFonts w:ascii="Arial" w:hAnsi="Arial"/>
          <w:b/>
          <w:bCs/>
        </w:rPr>
        <w:t>zielanej</w:t>
      </w:r>
      <w:r w:rsidR="00847FCF">
        <w:rPr>
          <w:rFonts w:ascii="Arial" w:hAnsi="Arial"/>
          <w:b/>
          <w:bCs/>
        </w:rPr>
        <w:t xml:space="preserve"> w roku budżetowym 2023</w:t>
      </w:r>
    </w:p>
    <w:p w14:paraId="4ACDF9C7" w14:textId="77777777" w:rsidR="00DC39AF" w:rsidRDefault="00DC39AF" w:rsidP="00DC39AF">
      <w:pPr>
        <w:pStyle w:val="Tekstpodstawowy"/>
        <w:spacing w:line="276" w:lineRule="auto"/>
        <w:rPr>
          <w:b/>
          <w:bCs/>
        </w:rPr>
      </w:pPr>
    </w:p>
    <w:p w14:paraId="7AE9CEAE" w14:textId="52860855" w:rsidR="00174D85" w:rsidRDefault="004803C7" w:rsidP="00174D85">
      <w:pPr>
        <w:spacing w:line="360" w:lineRule="auto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Dyrektor </w:t>
      </w:r>
      <w:r w:rsidR="006D4687">
        <w:rPr>
          <w:rFonts w:ascii="Arial" w:hAnsi="Arial" w:cs="Arial"/>
          <w:color w:val="262626"/>
          <w:sz w:val="22"/>
          <w:szCs w:val="22"/>
        </w:rPr>
        <w:t xml:space="preserve">Wojewódzkiego Domu Kultury w Rzeszowie </w:t>
      </w:r>
      <w:r>
        <w:rPr>
          <w:rFonts w:ascii="Arial" w:hAnsi="Arial" w:cs="Arial"/>
          <w:color w:val="262626"/>
          <w:sz w:val="22"/>
          <w:szCs w:val="22"/>
        </w:rPr>
        <w:t>zwrócił się z prośbą o udzielenie nieoprocentowanej pożyczki z budżetu Wojewódz</w:t>
      </w:r>
      <w:r w:rsidR="00CF1DC4">
        <w:rPr>
          <w:rFonts w:ascii="Arial" w:hAnsi="Arial" w:cs="Arial"/>
          <w:color w:val="262626"/>
          <w:sz w:val="22"/>
          <w:szCs w:val="22"/>
        </w:rPr>
        <w:t xml:space="preserve">twa Podkarpackiego w </w:t>
      </w:r>
      <w:r w:rsidR="006D4687">
        <w:rPr>
          <w:rFonts w:ascii="Arial" w:hAnsi="Arial" w:cs="Arial"/>
          <w:color w:val="262626"/>
          <w:sz w:val="22"/>
          <w:szCs w:val="22"/>
        </w:rPr>
        <w:t>kwocie 2.500.000 zł w związku z realizacj</w:t>
      </w:r>
      <w:r w:rsidR="006461B0">
        <w:rPr>
          <w:rFonts w:ascii="Arial" w:hAnsi="Arial" w:cs="Arial"/>
          <w:color w:val="262626"/>
          <w:sz w:val="22"/>
          <w:szCs w:val="22"/>
        </w:rPr>
        <w:t>ą</w:t>
      </w:r>
      <w:r w:rsidR="006D4687">
        <w:rPr>
          <w:rFonts w:ascii="Arial" w:hAnsi="Arial" w:cs="Arial"/>
          <w:color w:val="262626"/>
          <w:sz w:val="22"/>
          <w:szCs w:val="22"/>
        </w:rPr>
        <w:t xml:space="preserve"> projektu</w:t>
      </w:r>
      <w:r w:rsidR="00415844">
        <w:rPr>
          <w:rFonts w:ascii="Arial" w:hAnsi="Arial" w:cs="Arial"/>
          <w:color w:val="262626"/>
          <w:sz w:val="22"/>
          <w:szCs w:val="22"/>
        </w:rPr>
        <w:t xml:space="preserve"> </w:t>
      </w:r>
      <w:r w:rsidR="00415844" w:rsidRPr="00415844">
        <w:rPr>
          <w:rFonts w:ascii="Arial" w:hAnsi="Arial" w:cs="Arial"/>
          <w:color w:val="262626"/>
          <w:sz w:val="22"/>
          <w:szCs w:val="22"/>
        </w:rPr>
        <w:t xml:space="preserve">pn. </w:t>
      </w:r>
      <w:r w:rsidR="00415844" w:rsidRPr="00415844">
        <w:rPr>
          <w:rFonts w:ascii="Arial" w:hAnsi="Arial" w:cs="Arial"/>
          <w:i/>
          <w:color w:val="262626"/>
          <w:sz w:val="22"/>
          <w:szCs w:val="22"/>
        </w:rPr>
        <w:t>Utworzenie podkarpackiego centrum nauki</w:t>
      </w:r>
      <w:r w:rsidR="00415844" w:rsidRPr="00415844">
        <w:rPr>
          <w:rFonts w:ascii="Arial" w:hAnsi="Arial" w:cs="Arial"/>
          <w:color w:val="262626"/>
          <w:sz w:val="22"/>
          <w:szCs w:val="22"/>
        </w:rPr>
        <w:t>.</w:t>
      </w:r>
      <w:r w:rsidR="00174D85">
        <w:rPr>
          <w:rFonts w:ascii="Arial" w:hAnsi="Arial" w:cs="Arial"/>
          <w:color w:val="262626"/>
          <w:sz w:val="22"/>
          <w:szCs w:val="22"/>
        </w:rPr>
        <w:t xml:space="preserve"> </w:t>
      </w:r>
      <w:r w:rsidR="00415844">
        <w:rPr>
          <w:rFonts w:ascii="Arial" w:hAnsi="Arial" w:cs="Arial"/>
          <w:color w:val="262626"/>
          <w:sz w:val="22"/>
          <w:szCs w:val="22"/>
        </w:rPr>
        <w:t>Środki</w:t>
      </w:r>
      <w:r w:rsidR="00174D85">
        <w:rPr>
          <w:rFonts w:ascii="Arial" w:hAnsi="Arial" w:cs="Arial"/>
          <w:color w:val="262626"/>
          <w:sz w:val="22"/>
          <w:szCs w:val="22"/>
        </w:rPr>
        <w:t xml:space="preserve"> z </w:t>
      </w:r>
      <w:r w:rsidR="00415844">
        <w:rPr>
          <w:rFonts w:ascii="Arial" w:hAnsi="Arial" w:cs="Arial"/>
          <w:color w:val="262626"/>
          <w:sz w:val="22"/>
          <w:szCs w:val="22"/>
        </w:rPr>
        <w:t xml:space="preserve">pożyczki zostaną przeznaczone na zwrot </w:t>
      </w:r>
      <w:r w:rsidR="00174D85">
        <w:rPr>
          <w:rFonts w:ascii="Arial" w:hAnsi="Arial" w:cs="Arial"/>
          <w:color w:val="262626"/>
          <w:sz w:val="22"/>
          <w:szCs w:val="22"/>
        </w:rPr>
        <w:t>dotacji do Instytucji Zarządzającej w związku ze zmianą kwoty podatku VAT przysługującej do odliczenia.</w:t>
      </w:r>
    </w:p>
    <w:p w14:paraId="459B85B0" w14:textId="219802A4" w:rsidR="00174D85" w:rsidRPr="00174D85" w:rsidRDefault="00174D85" w:rsidP="00174D85">
      <w:pPr>
        <w:spacing w:line="360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174D85">
        <w:rPr>
          <w:rFonts w:ascii="Arial" w:hAnsi="Arial" w:cs="Arial"/>
          <w:color w:val="262626"/>
          <w:sz w:val="22"/>
          <w:szCs w:val="22"/>
        </w:rPr>
        <w:t>W 2018 roku Wojewódzki Dom Kultury w Rzeszowie wystąpił do Krajowej Informacji Skarbowej o wydanie interpretacji indywidualnej przepisów prawa pod</w:t>
      </w:r>
      <w:r>
        <w:rPr>
          <w:rFonts w:ascii="Arial" w:hAnsi="Arial" w:cs="Arial"/>
          <w:color w:val="262626"/>
          <w:sz w:val="22"/>
          <w:szCs w:val="22"/>
        </w:rPr>
        <w:t xml:space="preserve">atkowego dotyczącego możliwości </w:t>
      </w:r>
      <w:r w:rsidRPr="00174D85">
        <w:rPr>
          <w:rFonts w:ascii="Arial" w:hAnsi="Arial" w:cs="Arial"/>
          <w:color w:val="262626"/>
          <w:sz w:val="22"/>
          <w:szCs w:val="22"/>
        </w:rPr>
        <w:t xml:space="preserve">odliczania podatku od towarów i usług w zakresie realizacji w/w projektu. Pytanie dotyczyło sposobu obliczenia prewspółczynnika VAT tzn. czy należy wliczać dotacje inwestycyjne </w:t>
      </w:r>
      <w:r>
        <w:rPr>
          <w:rFonts w:ascii="Arial" w:hAnsi="Arial" w:cs="Arial"/>
          <w:color w:val="262626"/>
          <w:sz w:val="22"/>
          <w:szCs w:val="22"/>
        </w:rPr>
        <w:t xml:space="preserve">pozyskane na budowę </w:t>
      </w:r>
      <w:r w:rsidRPr="00174D85">
        <w:rPr>
          <w:rFonts w:ascii="Arial" w:hAnsi="Arial" w:cs="Arial"/>
          <w:color w:val="262626"/>
          <w:sz w:val="22"/>
          <w:szCs w:val="22"/>
        </w:rPr>
        <w:t>i wyposażenie PCN jak również inne pozyskane dotacje inwestycyjne do mianownika wzoru obliczenia prewspółczynnika. W odpowiedzi na tak zadane pytanie Dyrektor Krajowej Informacji Skarbowej określił, że stanowisko Wojewódzki</w:t>
      </w:r>
      <w:r w:rsidR="0052654D">
        <w:rPr>
          <w:rFonts w:ascii="Arial" w:hAnsi="Arial" w:cs="Arial"/>
          <w:color w:val="262626"/>
          <w:sz w:val="22"/>
          <w:szCs w:val="22"/>
        </w:rPr>
        <w:t>ego</w:t>
      </w:r>
      <w:r w:rsidRPr="00174D85">
        <w:rPr>
          <w:rFonts w:ascii="Arial" w:hAnsi="Arial" w:cs="Arial"/>
          <w:color w:val="262626"/>
          <w:sz w:val="22"/>
          <w:szCs w:val="22"/>
        </w:rPr>
        <w:t xml:space="preserve"> Dom</w:t>
      </w:r>
      <w:r w:rsidR="00CC08C2">
        <w:rPr>
          <w:rFonts w:ascii="Arial" w:hAnsi="Arial" w:cs="Arial"/>
          <w:color w:val="262626"/>
          <w:sz w:val="22"/>
          <w:szCs w:val="22"/>
        </w:rPr>
        <w:t>u</w:t>
      </w:r>
      <w:r w:rsidRPr="00174D85">
        <w:rPr>
          <w:rFonts w:ascii="Arial" w:hAnsi="Arial" w:cs="Arial"/>
          <w:color w:val="262626"/>
          <w:sz w:val="22"/>
          <w:szCs w:val="22"/>
        </w:rPr>
        <w:t xml:space="preserve"> Kultury o niewliczanie dotacji inw</w:t>
      </w:r>
      <w:r>
        <w:rPr>
          <w:rFonts w:ascii="Arial" w:hAnsi="Arial" w:cs="Arial"/>
          <w:color w:val="262626"/>
          <w:sz w:val="22"/>
          <w:szCs w:val="22"/>
        </w:rPr>
        <w:t xml:space="preserve">estycyjnych jest nieprawidłowe. </w:t>
      </w:r>
      <w:r w:rsidRPr="00174D85">
        <w:rPr>
          <w:rFonts w:ascii="Arial" w:hAnsi="Arial" w:cs="Arial"/>
          <w:color w:val="262626"/>
          <w:sz w:val="22"/>
          <w:szCs w:val="22"/>
        </w:rPr>
        <w:t>W związku z tym Wojewódzki Dom Kultury złożył odwołanie do Wojewódzkiego Sądu Administracyjnego, który oddalił skargę Dyrektora Krajowej Informacji Skarbowej. Dyrektor KIS złożył odwołanie do Naczelnego Sądu Administracyjnego. W lipcu 2023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174D85">
        <w:rPr>
          <w:rFonts w:ascii="Arial" w:hAnsi="Arial" w:cs="Arial"/>
          <w:color w:val="262626"/>
          <w:sz w:val="22"/>
          <w:szCs w:val="22"/>
        </w:rPr>
        <w:t>r. NSA oddalił skargę kasacyjną Dyrektora</w:t>
      </w:r>
      <w:r>
        <w:rPr>
          <w:rFonts w:ascii="Arial" w:hAnsi="Arial" w:cs="Arial"/>
          <w:color w:val="262626"/>
          <w:sz w:val="22"/>
          <w:szCs w:val="22"/>
        </w:rPr>
        <w:t xml:space="preserve"> Krajowej Informacji Skarbowej. </w:t>
      </w:r>
      <w:r w:rsidRPr="00174D85">
        <w:rPr>
          <w:rFonts w:ascii="Arial" w:hAnsi="Arial" w:cs="Arial"/>
          <w:color w:val="262626"/>
          <w:sz w:val="22"/>
          <w:szCs w:val="22"/>
        </w:rPr>
        <w:t xml:space="preserve">Konsekwencją wyroku Naczelnego Sądu Administracyjnego jest konieczność ponownego przeliczenia kwoty podatku VAT przysługującej do odliczenia. </w:t>
      </w:r>
      <w:r>
        <w:rPr>
          <w:rFonts w:ascii="Arial" w:hAnsi="Arial" w:cs="Arial"/>
          <w:color w:val="262626"/>
          <w:sz w:val="22"/>
          <w:szCs w:val="22"/>
        </w:rPr>
        <w:t xml:space="preserve">Wspomniany </w:t>
      </w:r>
      <w:r w:rsidRPr="00174D85">
        <w:rPr>
          <w:rFonts w:ascii="Arial" w:hAnsi="Arial" w:cs="Arial"/>
          <w:color w:val="262626"/>
          <w:sz w:val="22"/>
          <w:szCs w:val="22"/>
        </w:rPr>
        <w:t>wyrok jest korzystny dla Wojewódzkiego Domu Kultury, jednak powoduje on konieczność zwrotu części planowanego do odliczenia podatku VAT, do IZ wraz z odsetkami.</w:t>
      </w:r>
    </w:p>
    <w:p w14:paraId="3BEBF878" w14:textId="441FA7D1" w:rsidR="00415844" w:rsidRDefault="00174D85" w:rsidP="00174D85">
      <w:pPr>
        <w:spacing w:line="360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174D85">
        <w:rPr>
          <w:rFonts w:ascii="Arial" w:hAnsi="Arial" w:cs="Arial"/>
          <w:color w:val="262626"/>
          <w:sz w:val="22"/>
          <w:szCs w:val="22"/>
        </w:rPr>
        <w:t>Środki z udzielonej pożyczki zostaną przeznaczone na sfinansowanie</w:t>
      </w:r>
      <w:r>
        <w:rPr>
          <w:rFonts w:ascii="Arial" w:hAnsi="Arial" w:cs="Arial"/>
          <w:color w:val="262626"/>
          <w:sz w:val="22"/>
          <w:szCs w:val="22"/>
        </w:rPr>
        <w:t xml:space="preserve"> zwrotu</w:t>
      </w:r>
      <w:r w:rsidRPr="00174D85">
        <w:rPr>
          <w:rFonts w:ascii="Arial" w:hAnsi="Arial" w:cs="Arial"/>
          <w:color w:val="262626"/>
          <w:sz w:val="22"/>
          <w:szCs w:val="22"/>
        </w:rPr>
        <w:t xml:space="preserve"> podatku VAT. Udzielona pożyczka pozwoli instytucji na utrzymanie bieżącej płynności finansowej do czasu otrzymania zwrotu podatku VAT z Urzędu Skarbowego. Zwrot pożyczki udzielonej w roku bieżącym nastąpi w terminie do 31.07.2024</w:t>
      </w:r>
      <w:r>
        <w:rPr>
          <w:rFonts w:ascii="Arial" w:hAnsi="Arial" w:cs="Arial"/>
          <w:color w:val="262626"/>
          <w:sz w:val="22"/>
          <w:szCs w:val="22"/>
        </w:rPr>
        <w:t xml:space="preserve"> r.</w:t>
      </w:r>
    </w:p>
    <w:p w14:paraId="6EF878E2" w14:textId="77777777" w:rsidR="005B426B" w:rsidRDefault="005B426B" w:rsidP="005B426B">
      <w:pPr>
        <w:spacing w:line="36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p w14:paraId="4D4271CF" w14:textId="42463BB2" w:rsidR="005B426B" w:rsidRDefault="005B426B" w:rsidP="005B426B">
      <w:pPr>
        <w:spacing w:line="360" w:lineRule="auto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0266E8">
        <w:rPr>
          <w:rFonts w:ascii="Arial" w:hAnsi="Arial" w:cs="Arial"/>
          <w:b/>
          <w:color w:val="262626"/>
          <w:sz w:val="22"/>
          <w:szCs w:val="22"/>
        </w:rPr>
        <w:t>Harmo</w:t>
      </w:r>
      <w:r>
        <w:rPr>
          <w:rFonts w:ascii="Arial" w:hAnsi="Arial" w:cs="Arial"/>
          <w:b/>
          <w:color w:val="262626"/>
          <w:sz w:val="22"/>
          <w:szCs w:val="22"/>
        </w:rPr>
        <w:t>nogram uruchomienia i spłaty poż</w:t>
      </w:r>
      <w:r w:rsidRPr="000266E8">
        <w:rPr>
          <w:rFonts w:ascii="Arial" w:hAnsi="Arial" w:cs="Arial"/>
          <w:b/>
          <w:color w:val="262626"/>
          <w:sz w:val="22"/>
          <w:szCs w:val="22"/>
        </w:rPr>
        <w:t>yczki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710"/>
        <w:gridCol w:w="2835"/>
        <w:gridCol w:w="2969"/>
      </w:tblGrid>
      <w:tr w:rsidR="005B426B" w14:paraId="78720333" w14:textId="77777777" w:rsidTr="00273BA0">
        <w:tc>
          <w:tcPr>
            <w:tcW w:w="546" w:type="dxa"/>
            <w:shd w:val="clear" w:color="auto" w:fill="BFBFBF" w:themeFill="background1" w:themeFillShade="BF"/>
          </w:tcPr>
          <w:p w14:paraId="0914E7D9" w14:textId="77777777" w:rsidR="005B426B" w:rsidRDefault="005B426B" w:rsidP="00273BA0">
            <w:pPr>
              <w:spacing w:line="360" w:lineRule="auto"/>
              <w:jc w:val="both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Lp.</w:t>
            </w:r>
          </w:p>
        </w:tc>
        <w:tc>
          <w:tcPr>
            <w:tcW w:w="2710" w:type="dxa"/>
            <w:shd w:val="clear" w:color="auto" w:fill="BFBFBF" w:themeFill="background1" w:themeFillShade="BF"/>
          </w:tcPr>
          <w:p w14:paraId="020F148D" w14:textId="77777777" w:rsidR="005B426B" w:rsidRDefault="005B426B" w:rsidP="00273BA0">
            <w:pPr>
              <w:spacing w:line="360" w:lineRule="auto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Termin uruchomienia pożyczki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79418DA" w14:textId="77777777" w:rsidR="005B426B" w:rsidRDefault="005B426B" w:rsidP="00273BA0">
            <w:pPr>
              <w:spacing w:line="360" w:lineRule="auto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Kwota pożyczki </w:t>
            </w:r>
          </w:p>
        </w:tc>
        <w:tc>
          <w:tcPr>
            <w:tcW w:w="2969" w:type="dxa"/>
            <w:shd w:val="clear" w:color="auto" w:fill="BFBFBF" w:themeFill="background1" w:themeFillShade="BF"/>
          </w:tcPr>
          <w:p w14:paraId="278A1C72" w14:textId="77777777" w:rsidR="005B426B" w:rsidRDefault="005B426B" w:rsidP="00273BA0">
            <w:pPr>
              <w:spacing w:line="360" w:lineRule="auto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Przewidywany termin spłaty pożyczki</w:t>
            </w:r>
          </w:p>
        </w:tc>
      </w:tr>
      <w:tr w:rsidR="005B426B" w14:paraId="6D43576A" w14:textId="77777777" w:rsidTr="00273BA0">
        <w:tc>
          <w:tcPr>
            <w:tcW w:w="546" w:type="dxa"/>
            <w:shd w:val="clear" w:color="auto" w:fill="BFBFBF" w:themeFill="background1" w:themeFillShade="BF"/>
          </w:tcPr>
          <w:p w14:paraId="48F1A7CC" w14:textId="77777777" w:rsidR="005B426B" w:rsidRDefault="005B426B" w:rsidP="00273BA0">
            <w:pPr>
              <w:spacing w:line="360" w:lineRule="auto"/>
              <w:jc w:val="both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1</w:t>
            </w:r>
          </w:p>
        </w:tc>
        <w:tc>
          <w:tcPr>
            <w:tcW w:w="2710" w:type="dxa"/>
          </w:tcPr>
          <w:p w14:paraId="79BF2914" w14:textId="223EDC95" w:rsidR="005B426B" w:rsidRPr="000266E8" w:rsidRDefault="00415844" w:rsidP="00273BA0">
            <w:pPr>
              <w:spacing w:line="360" w:lineRule="auto"/>
              <w:jc w:val="both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X</w:t>
            </w:r>
            <w:r w:rsidR="005378A5">
              <w:rPr>
                <w:rFonts w:ascii="Arial" w:hAnsi="Arial" w:cs="Arial"/>
                <w:color w:val="262626"/>
                <w:sz w:val="22"/>
                <w:szCs w:val="22"/>
              </w:rPr>
              <w:t xml:space="preserve"> 2023</w:t>
            </w:r>
            <w:r w:rsidR="005B426B" w:rsidRPr="000266E8">
              <w:rPr>
                <w:rFonts w:ascii="Arial" w:hAnsi="Arial" w:cs="Arial"/>
                <w:color w:val="262626"/>
                <w:sz w:val="22"/>
                <w:szCs w:val="22"/>
              </w:rPr>
              <w:t xml:space="preserve"> r.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(14 dni po uzyskaniu decyzji z IZ)</w:t>
            </w:r>
          </w:p>
        </w:tc>
        <w:tc>
          <w:tcPr>
            <w:tcW w:w="2835" w:type="dxa"/>
          </w:tcPr>
          <w:p w14:paraId="3597DAA7" w14:textId="2FE16845" w:rsidR="005B426B" w:rsidRPr="000266E8" w:rsidRDefault="00415844" w:rsidP="00273BA0">
            <w:pPr>
              <w:spacing w:line="360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2.500.000</w:t>
            </w:r>
            <w:r w:rsidR="005B426B">
              <w:rPr>
                <w:rFonts w:ascii="Arial" w:hAnsi="Arial" w:cs="Arial"/>
                <w:color w:val="262626"/>
                <w:sz w:val="22"/>
                <w:szCs w:val="22"/>
              </w:rPr>
              <w:t xml:space="preserve"> PLN</w:t>
            </w:r>
          </w:p>
        </w:tc>
        <w:tc>
          <w:tcPr>
            <w:tcW w:w="2969" w:type="dxa"/>
          </w:tcPr>
          <w:p w14:paraId="1DAC1236" w14:textId="4AF5BAFE" w:rsidR="005B426B" w:rsidRPr="000266E8" w:rsidRDefault="00415844" w:rsidP="00273BA0">
            <w:pPr>
              <w:spacing w:line="360" w:lineRule="auto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31 VII</w:t>
            </w:r>
            <w:r w:rsidR="005378A5">
              <w:rPr>
                <w:rFonts w:ascii="Arial" w:hAnsi="Arial" w:cs="Arial"/>
                <w:color w:val="262626"/>
                <w:sz w:val="22"/>
                <w:szCs w:val="22"/>
              </w:rPr>
              <w:t xml:space="preserve"> 2024</w:t>
            </w:r>
            <w:r w:rsidR="005B426B">
              <w:rPr>
                <w:rFonts w:ascii="Arial" w:hAnsi="Arial" w:cs="Arial"/>
                <w:color w:val="262626"/>
                <w:sz w:val="22"/>
                <w:szCs w:val="22"/>
              </w:rPr>
              <w:t xml:space="preserve"> r.</w:t>
            </w:r>
          </w:p>
        </w:tc>
      </w:tr>
    </w:tbl>
    <w:p w14:paraId="65F50100" w14:textId="5025F3BF" w:rsidR="00614138" w:rsidRPr="00E42C87" w:rsidRDefault="00614138" w:rsidP="004803C7">
      <w:pPr>
        <w:spacing w:line="36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sectPr w:rsidR="00614138" w:rsidRPr="00E42C87" w:rsidSect="00742830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59C5" w14:textId="77777777" w:rsidR="00A90198" w:rsidRDefault="00A90198" w:rsidP="00CB5E9C">
      <w:r>
        <w:separator/>
      </w:r>
    </w:p>
  </w:endnote>
  <w:endnote w:type="continuationSeparator" w:id="0">
    <w:p w14:paraId="0DD965D7" w14:textId="77777777" w:rsidR="00A90198" w:rsidRDefault="00A90198" w:rsidP="00C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8F90" w14:textId="77777777" w:rsidR="00A90198" w:rsidRDefault="00A90198" w:rsidP="00CB5E9C">
      <w:r>
        <w:separator/>
      </w:r>
    </w:p>
  </w:footnote>
  <w:footnote w:type="continuationSeparator" w:id="0">
    <w:p w14:paraId="776B6235" w14:textId="77777777" w:rsidR="00A90198" w:rsidRDefault="00A90198" w:rsidP="00CB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94C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D69F9"/>
    <w:multiLevelType w:val="hybridMultilevel"/>
    <w:tmpl w:val="9A764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01B"/>
    <w:multiLevelType w:val="hybridMultilevel"/>
    <w:tmpl w:val="C004CF28"/>
    <w:lvl w:ilvl="0" w:tplc="C1F2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9D4"/>
    <w:multiLevelType w:val="hybridMultilevel"/>
    <w:tmpl w:val="CC16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C0"/>
    <w:multiLevelType w:val="hybridMultilevel"/>
    <w:tmpl w:val="0CDCB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35B0A"/>
    <w:multiLevelType w:val="hybridMultilevel"/>
    <w:tmpl w:val="D4845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1997"/>
    <w:multiLevelType w:val="hybridMultilevel"/>
    <w:tmpl w:val="C5D4F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21E8"/>
    <w:multiLevelType w:val="hybridMultilevel"/>
    <w:tmpl w:val="FE6E6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67D66"/>
    <w:multiLevelType w:val="hybridMultilevel"/>
    <w:tmpl w:val="EFD66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A618C"/>
    <w:multiLevelType w:val="hybridMultilevel"/>
    <w:tmpl w:val="FCD4F88C"/>
    <w:lvl w:ilvl="0" w:tplc="AAA030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E66FDE"/>
    <w:multiLevelType w:val="hybridMultilevel"/>
    <w:tmpl w:val="DAA69B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6847221">
    <w:abstractNumId w:val="2"/>
  </w:num>
  <w:num w:numId="2" w16cid:durableId="1941569598">
    <w:abstractNumId w:val="10"/>
  </w:num>
  <w:num w:numId="3" w16cid:durableId="1111123794">
    <w:abstractNumId w:val="6"/>
  </w:num>
  <w:num w:numId="4" w16cid:durableId="595290119">
    <w:abstractNumId w:val="3"/>
  </w:num>
  <w:num w:numId="5" w16cid:durableId="845170473">
    <w:abstractNumId w:val="5"/>
  </w:num>
  <w:num w:numId="6" w16cid:durableId="682509460">
    <w:abstractNumId w:val="8"/>
  </w:num>
  <w:num w:numId="7" w16cid:durableId="1828862562">
    <w:abstractNumId w:val="7"/>
  </w:num>
  <w:num w:numId="8" w16cid:durableId="1291015176">
    <w:abstractNumId w:val="1"/>
  </w:num>
  <w:num w:numId="9" w16cid:durableId="578053214">
    <w:abstractNumId w:val="0"/>
  </w:num>
  <w:num w:numId="10" w16cid:durableId="1373921546">
    <w:abstractNumId w:val="4"/>
  </w:num>
  <w:num w:numId="11" w16cid:durableId="837159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CF"/>
    <w:rsid w:val="00013F1B"/>
    <w:rsid w:val="00023AA0"/>
    <w:rsid w:val="00027CCA"/>
    <w:rsid w:val="00034DB3"/>
    <w:rsid w:val="00043FAA"/>
    <w:rsid w:val="00055E91"/>
    <w:rsid w:val="000843DD"/>
    <w:rsid w:val="000A7F99"/>
    <w:rsid w:val="000C56DF"/>
    <w:rsid w:val="000D1DE7"/>
    <w:rsid w:val="000D6C52"/>
    <w:rsid w:val="000D7297"/>
    <w:rsid w:val="000F6CE3"/>
    <w:rsid w:val="00111FCB"/>
    <w:rsid w:val="0011315B"/>
    <w:rsid w:val="001135FB"/>
    <w:rsid w:val="00117D89"/>
    <w:rsid w:val="00126AF2"/>
    <w:rsid w:val="001312F7"/>
    <w:rsid w:val="00136CD6"/>
    <w:rsid w:val="001664FD"/>
    <w:rsid w:val="00174D85"/>
    <w:rsid w:val="00176469"/>
    <w:rsid w:val="00177EA2"/>
    <w:rsid w:val="001859B6"/>
    <w:rsid w:val="0019192E"/>
    <w:rsid w:val="0019579D"/>
    <w:rsid w:val="00196AA0"/>
    <w:rsid w:val="00197638"/>
    <w:rsid w:val="001C100D"/>
    <w:rsid w:val="001C1A4A"/>
    <w:rsid w:val="001D4400"/>
    <w:rsid w:val="001D5567"/>
    <w:rsid w:val="001E3D00"/>
    <w:rsid w:val="001F099A"/>
    <w:rsid w:val="00210EA8"/>
    <w:rsid w:val="00216259"/>
    <w:rsid w:val="00216B81"/>
    <w:rsid w:val="00230FF8"/>
    <w:rsid w:val="002436B7"/>
    <w:rsid w:val="00250545"/>
    <w:rsid w:val="0026273A"/>
    <w:rsid w:val="00274D54"/>
    <w:rsid w:val="00277FB0"/>
    <w:rsid w:val="00280ADC"/>
    <w:rsid w:val="002B2B25"/>
    <w:rsid w:val="002C527A"/>
    <w:rsid w:val="002C624C"/>
    <w:rsid w:val="002D3908"/>
    <w:rsid w:val="002E334A"/>
    <w:rsid w:val="00316B57"/>
    <w:rsid w:val="003171CA"/>
    <w:rsid w:val="003213CD"/>
    <w:rsid w:val="003336F2"/>
    <w:rsid w:val="0034244E"/>
    <w:rsid w:val="0035040D"/>
    <w:rsid w:val="00351306"/>
    <w:rsid w:val="0037325F"/>
    <w:rsid w:val="003738D7"/>
    <w:rsid w:val="003932AF"/>
    <w:rsid w:val="003A5B40"/>
    <w:rsid w:val="003B7661"/>
    <w:rsid w:val="00411225"/>
    <w:rsid w:val="00415844"/>
    <w:rsid w:val="004233D7"/>
    <w:rsid w:val="004471BE"/>
    <w:rsid w:val="00465070"/>
    <w:rsid w:val="00465BB0"/>
    <w:rsid w:val="004719DD"/>
    <w:rsid w:val="004803C7"/>
    <w:rsid w:val="00486E9F"/>
    <w:rsid w:val="004A21A7"/>
    <w:rsid w:val="004A3170"/>
    <w:rsid w:val="004A3F5C"/>
    <w:rsid w:val="004A6107"/>
    <w:rsid w:val="004A79D8"/>
    <w:rsid w:val="004C4733"/>
    <w:rsid w:val="004D12D0"/>
    <w:rsid w:val="004D2185"/>
    <w:rsid w:val="004E102C"/>
    <w:rsid w:val="004F063C"/>
    <w:rsid w:val="00510DC9"/>
    <w:rsid w:val="00512A67"/>
    <w:rsid w:val="005134E8"/>
    <w:rsid w:val="00514161"/>
    <w:rsid w:val="00516BAB"/>
    <w:rsid w:val="00523C8F"/>
    <w:rsid w:val="0052654D"/>
    <w:rsid w:val="00535D38"/>
    <w:rsid w:val="005378A5"/>
    <w:rsid w:val="00545A7F"/>
    <w:rsid w:val="00546FA6"/>
    <w:rsid w:val="005614D6"/>
    <w:rsid w:val="00571B54"/>
    <w:rsid w:val="005B426B"/>
    <w:rsid w:val="005C03E1"/>
    <w:rsid w:val="005C32A9"/>
    <w:rsid w:val="005F21C8"/>
    <w:rsid w:val="00600A49"/>
    <w:rsid w:val="006072FB"/>
    <w:rsid w:val="00611989"/>
    <w:rsid w:val="00614138"/>
    <w:rsid w:val="00623162"/>
    <w:rsid w:val="00636398"/>
    <w:rsid w:val="006461B0"/>
    <w:rsid w:val="006538F7"/>
    <w:rsid w:val="00681964"/>
    <w:rsid w:val="00684132"/>
    <w:rsid w:val="006857F6"/>
    <w:rsid w:val="00693CC6"/>
    <w:rsid w:val="006A1CA4"/>
    <w:rsid w:val="006B1173"/>
    <w:rsid w:val="006C35AD"/>
    <w:rsid w:val="006C709A"/>
    <w:rsid w:val="006C7303"/>
    <w:rsid w:val="006D4687"/>
    <w:rsid w:val="006F37CB"/>
    <w:rsid w:val="006F4176"/>
    <w:rsid w:val="00712E85"/>
    <w:rsid w:val="00715054"/>
    <w:rsid w:val="00716FDD"/>
    <w:rsid w:val="00721E4D"/>
    <w:rsid w:val="00735250"/>
    <w:rsid w:val="00742830"/>
    <w:rsid w:val="0078384A"/>
    <w:rsid w:val="0078591C"/>
    <w:rsid w:val="00793D15"/>
    <w:rsid w:val="007D111A"/>
    <w:rsid w:val="007E069A"/>
    <w:rsid w:val="007F55CF"/>
    <w:rsid w:val="007F564F"/>
    <w:rsid w:val="008153A3"/>
    <w:rsid w:val="00825B04"/>
    <w:rsid w:val="00831C88"/>
    <w:rsid w:val="00847FCF"/>
    <w:rsid w:val="008602BD"/>
    <w:rsid w:val="00881E29"/>
    <w:rsid w:val="00884904"/>
    <w:rsid w:val="00892BDF"/>
    <w:rsid w:val="008A410C"/>
    <w:rsid w:val="008C59DF"/>
    <w:rsid w:val="008C5C85"/>
    <w:rsid w:val="008E384C"/>
    <w:rsid w:val="00902290"/>
    <w:rsid w:val="00903072"/>
    <w:rsid w:val="009319A4"/>
    <w:rsid w:val="009544C1"/>
    <w:rsid w:val="009570E6"/>
    <w:rsid w:val="009631C9"/>
    <w:rsid w:val="00964AB5"/>
    <w:rsid w:val="009654FD"/>
    <w:rsid w:val="00970C18"/>
    <w:rsid w:val="009742EB"/>
    <w:rsid w:val="0098761B"/>
    <w:rsid w:val="009A588F"/>
    <w:rsid w:val="009C11BB"/>
    <w:rsid w:val="009C6C5F"/>
    <w:rsid w:val="009D4491"/>
    <w:rsid w:val="009E1692"/>
    <w:rsid w:val="009E1C8C"/>
    <w:rsid w:val="009F18C1"/>
    <w:rsid w:val="009F2014"/>
    <w:rsid w:val="009F7992"/>
    <w:rsid w:val="00A2428F"/>
    <w:rsid w:val="00A6080C"/>
    <w:rsid w:val="00A6548A"/>
    <w:rsid w:val="00A758D3"/>
    <w:rsid w:val="00A81780"/>
    <w:rsid w:val="00A90198"/>
    <w:rsid w:val="00A910A5"/>
    <w:rsid w:val="00A97B2B"/>
    <w:rsid w:val="00AC4CA9"/>
    <w:rsid w:val="00AC67CB"/>
    <w:rsid w:val="00AD5C61"/>
    <w:rsid w:val="00AE7288"/>
    <w:rsid w:val="00AF1C4D"/>
    <w:rsid w:val="00B21C03"/>
    <w:rsid w:val="00B30B2E"/>
    <w:rsid w:val="00B32889"/>
    <w:rsid w:val="00B46DB1"/>
    <w:rsid w:val="00B53F6E"/>
    <w:rsid w:val="00B61140"/>
    <w:rsid w:val="00B74F98"/>
    <w:rsid w:val="00B75C98"/>
    <w:rsid w:val="00B879CE"/>
    <w:rsid w:val="00BD36D3"/>
    <w:rsid w:val="00BE12A7"/>
    <w:rsid w:val="00BF2A55"/>
    <w:rsid w:val="00BF2D3D"/>
    <w:rsid w:val="00C10258"/>
    <w:rsid w:val="00C14765"/>
    <w:rsid w:val="00C44AAD"/>
    <w:rsid w:val="00C5176A"/>
    <w:rsid w:val="00C70F4B"/>
    <w:rsid w:val="00C7723F"/>
    <w:rsid w:val="00C81DBD"/>
    <w:rsid w:val="00CB49F0"/>
    <w:rsid w:val="00CB5E9C"/>
    <w:rsid w:val="00CC08C2"/>
    <w:rsid w:val="00CC7020"/>
    <w:rsid w:val="00CD4A3A"/>
    <w:rsid w:val="00CD53F9"/>
    <w:rsid w:val="00CF0DD8"/>
    <w:rsid w:val="00CF1DC4"/>
    <w:rsid w:val="00D12FA4"/>
    <w:rsid w:val="00D144B3"/>
    <w:rsid w:val="00D32B15"/>
    <w:rsid w:val="00D4746F"/>
    <w:rsid w:val="00D52310"/>
    <w:rsid w:val="00DA2FC0"/>
    <w:rsid w:val="00DC02A5"/>
    <w:rsid w:val="00DC39AF"/>
    <w:rsid w:val="00DE188E"/>
    <w:rsid w:val="00DE2CCC"/>
    <w:rsid w:val="00DF0B29"/>
    <w:rsid w:val="00E07660"/>
    <w:rsid w:val="00E14922"/>
    <w:rsid w:val="00E15D52"/>
    <w:rsid w:val="00E3070D"/>
    <w:rsid w:val="00E35425"/>
    <w:rsid w:val="00E42C87"/>
    <w:rsid w:val="00E474D7"/>
    <w:rsid w:val="00E516CF"/>
    <w:rsid w:val="00E90338"/>
    <w:rsid w:val="00E94CA1"/>
    <w:rsid w:val="00EA7A64"/>
    <w:rsid w:val="00EB51A7"/>
    <w:rsid w:val="00EC2948"/>
    <w:rsid w:val="00ED32E1"/>
    <w:rsid w:val="00EE7643"/>
    <w:rsid w:val="00EF2F9D"/>
    <w:rsid w:val="00F169E2"/>
    <w:rsid w:val="00F44566"/>
    <w:rsid w:val="00F62C7E"/>
    <w:rsid w:val="00F743ED"/>
    <w:rsid w:val="00F76A20"/>
    <w:rsid w:val="00F7763F"/>
    <w:rsid w:val="00F82A9D"/>
    <w:rsid w:val="00FA697B"/>
    <w:rsid w:val="00FC2758"/>
    <w:rsid w:val="00FE0E05"/>
    <w:rsid w:val="00FE13DF"/>
    <w:rsid w:val="00FE4EB3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A2A58"/>
  <w15:docId w15:val="{93FCB718-D0F7-4A56-8EBF-F3EFFE0A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1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1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F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11BB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semiHidden/>
    <w:rsid w:val="009C11BB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243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B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B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B8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66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661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E9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398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2B2B25"/>
    <w:pPr>
      <w:numPr>
        <w:numId w:val="9"/>
      </w:numPr>
      <w:contextualSpacing/>
    </w:pPr>
  </w:style>
  <w:style w:type="table" w:styleId="Tabela-Siatka">
    <w:name w:val="Table Grid"/>
    <w:basedOn w:val="Standardowy"/>
    <w:uiPriority w:val="59"/>
    <w:rsid w:val="005B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8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88F"/>
  </w:style>
  <w:style w:type="character" w:styleId="Odwoanieprzypisudolnego">
    <w:name w:val="footnote reference"/>
    <w:basedOn w:val="Domylnaczcionkaakapitu"/>
    <w:uiPriority w:val="99"/>
    <w:semiHidden/>
    <w:unhideWhenUsed/>
    <w:rsid w:val="009A58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A3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A1C7-1904-4E8F-A9DA-4C250A8F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         /07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528_11129_23</dc:title>
  <dc:subject/>
  <dc:creator>a.budziwojski;e.krzyzak</dc:creator>
  <cp:keywords/>
  <dc:description/>
  <cp:lastModifiedBy>.</cp:lastModifiedBy>
  <cp:revision>7</cp:revision>
  <cp:lastPrinted>2023-09-13T08:47:00Z</cp:lastPrinted>
  <dcterms:created xsi:type="dcterms:W3CDTF">2023-09-29T08:50:00Z</dcterms:created>
  <dcterms:modified xsi:type="dcterms:W3CDTF">2023-10-05T06:43:00Z</dcterms:modified>
</cp:coreProperties>
</file>